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3E596B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3E596B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3E596B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3E596B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3E596B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3E596B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3E596B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3E596B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E596B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3E596B">
            <w:rPr>
              <w:bCs/>
            </w:rPr>
            <w:t>英文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3E596B">
            <w:rPr>
              <w:bCs/>
            </w:rPr>
            <w:t>醫學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Default="00841051" w:rsidP="00841051">
      <w:pPr>
        <w:pBdr>
          <w:bottom w:val="single" w:sz="4" w:space="1" w:color="auto"/>
        </w:pBdr>
        <w:rPr>
          <w:rStyle w:val="a6"/>
          <w:rFonts w:eastAsia="新細明體" w:hAnsi="新細明體" w:cs="Times New Roman" w:hint="eastAsia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2755F9" w:rsidRPr="007C2599" w:rsidRDefault="002755F9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</w:p>
    <w:p w:rsidR="00841051" w:rsidRPr="007C2599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7178DD" w:rsidRPr="007178DD" w:rsidRDefault="007178DD" w:rsidP="007178DD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7178DD">
        <w:rPr>
          <w:rStyle w:val="a6"/>
          <w:rFonts w:eastAsia="新細明體" w:hAnsi="新細明體" w:cs="Times New Roman" w:hint="eastAsia"/>
          <w:b w:val="0"/>
        </w:rPr>
        <w:t>抒壓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薰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香精油之腦波研究</w:t>
      </w:r>
      <w:r w:rsidRPr="007178DD">
        <w:rPr>
          <w:rStyle w:val="a6"/>
          <w:rFonts w:eastAsia="新細明體" w:hAnsi="新細明體" w:cs="Times New Roman"/>
          <w:b w:val="0"/>
        </w:rPr>
        <w:t>Abstract</w:t>
      </w:r>
    </w:p>
    <w:p w:rsidR="007178DD" w:rsidRPr="007178DD" w:rsidRDefault="007178DD" w:rsidP="007178DD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7178DD">
        <w:rPr>
          <w:rStyle w:val="a6"/>
          <w:rFonts w:eastAsia="新細明體" w:hAnsi="新細明體" w:cs="Times New Roman" w:hint="eastAsia"/>
          <w:b w:val="0"/>
        </w:rPr>
        <w:t>現今腦電波</w:t>
      </w:r>
      <w:r w:rsidRPr="007178DD">
        <w:rPr>
          <w:rStyle w:val="a6"/>
          <w:rFonts w:eastAsia="新細明體" w:hAnsi="新細明體" w:cs="Times New Roman" w:hint="eastAsia"/>
          <w:b w:val="0"/>
        </w:rPr>
        <w:t>(</w:t>
      </w:r>
      <w:r w:rsidRPr="007178DD">
        <w:rPr>
          <w:rStyle w:val="a6"/>
          <w:rFonts w:eastAsia="新細明體" w:hAnsi="新細明體" w:cs="Times New Roman"/>
          <w:b w:val="0"/>
        </w:rPr>
        <w:t>electroencephalogram</w:t>
      </w:r>
      <w:r w:rsidRPr="007178DD">
        <w:rPr>
          <w:rStyle w:val="a6"/>
          <w:rFonts w:eastAsia="新細明體" w:hAnsi="新細明體" w:cs="Times New Roman" w:hint="eastAsia"/>
          <w:b w:val="0"/>
        </w:rPr>
        <w:t xml:space="preserve">, </w:t>
      </w:r>
      <w:r w:rsidRPr="007178DD">
        <w:rPr>
          <w:rStyle w:val="a6"/>
          <w:rFonts w:eastAsia="新細明體" w:hAnsi="新細明體" w:cs="Times New Roman"/>
          <w:b w:val="0"/>
        </w:rPr>
        <w:t>EEG</w:t>
      </w:r>
      <w:r w:rsidRPr="007178DD">
        <w:rPr>
          <w:rStyle w:val="a6"/>
          <w:rFonts w:eastAsia="新細明體" w:hAnsi="新細明體" w:cs="Times New Roman" w:hint="eastAsia"/>
          <w:b w:val="0"/>
        </w:rPr>
        <w:t>)</w:t>
      </w:r>
      <w:r w:rsidRPr="007178DD">
        <w:rPr>
          <w:rStyle w:val="a6"/>
          <w:rFonts w:eastAsia="新細明體" w:hAnsi="新細明體" w:cs="Times New Roman" w:hint="eastAsia"/>
          <w:b w:val="0"/>
        </w:rPr>
        <w:t>在醫療應用上已經非常廣泛，除可進行腦部疾病檢查外，也可利用</w:t>
      </w:r>
      <w:r w:rsidRPr="007178DD">
        <w:rPr>
          <w:rStyle w:val="a6"/>
          <w:rFonts w:eastAsia="新細明體" w:hAnsi="新細明體" w:cs="Times New Roman"/>
          <w:b w:val="0"/>
        </w:rPr>
        <w:t>EEG</w:t>
      </w:r>
      <w:r w:rsidRPr="007178DD">
        <w:rPr>
          <w:rStyle w:val="a6"/>
          <w:rFonts w:eastAsia="新細明體" w:hAnsi="新細明體" w:cs="Times New Roman" w:hint="eastAsia"/>
          <w:b w:val="0"/>
        </w:rPr>
        <w:t>來觀察周遭事物對人們的情緒影響。綜觀目前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薰香精油甚多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，且聲稱具有安撫心靈及鎮定效果者，也不占少數，在目前尚無相關腦電波科學實驗驗證的情況下，本研究擬藉由觀察腦電波反應，來瞭解目前普遍常用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之抒壓薰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香精油對於人腦是否具有實際情緒放鬆效果，並觀察其影響程度。經本研究實驗結果得知，在不分性別的情況下以玫瑰精油最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具有抒壓及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情緒放鬆效果</w:t>
      </w:r>
      <w:r w:rsidRPr="007178DD">
        <w:rPr>
          <w:rStyle w:val="a6"/>
          <w:rFonts w:eastAsia="新細明體" w:hAnsi="新細明體" w:cs="Times New Roman"/>
          <w:b w:val="0"/>
        </w:rPr>
        <w:t>(P&lt;0.05</w:t>
      </w:r>
      <w:r w:rsidRPr="007178DD">
        <w:rPr>
          <w:rStyle w:val="a6"/>
          <w:rFonts w:eastAsia="新細明體" w:hAnsi="新細明體" w:cs="Times New Roman" w:hint="eastAsia"/>
          <w:b w:val="0"/>
        </w:rPr>
        <w:t>)</w:t>
      </w:r>
      <w:r w:rsidRPr="007178DD">
        <w:rPr>
          <w:rStyle w:val="a6"/>
          <w:rFonts w:eastAsia="新細明體" w:hAnsi="新細明體" w:cs="Times New Roman" w:hint="eastAsia"/>
          <w:b w:val="0"/>
        </w:rPr>
        <w:t>；但依性別分別進行分析得知，薄荷精油反而對於男性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具有抒壓之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效果</w:t>
      </w:r>
      <w:r w:rsidRPr="007178DD">
        <w:rPr>
          <w:rStyle w:val="a6"/>
          <w:rFonts w:eastAsia="新細明體" w:hAnsi="新細明體" w:cs="Times New Roman"/>
          <w:b w:val="0"/>
        </w:rPr>
        <w:t>(P&lt;0.05</w:t>
      </w:r>
      <w:r w:rsidRPr="007178DD">
        <w:rPr>
          <w:rStyle w:val="a6"/>
          <w:rFonts w:eastAsia="新細明體" w:hAnsi="新細明體" w:cs="Times New Roman" w:hint="eastAsia"/>
          <w:b w:val="0"/>
        </w:rPr>
        <w:t>)</w:t>
      </w:r>
      <w:r w:rsidRPr="007178DD">
        <w:rPr>
          <w:rStyle w:val="a6"/>
          <w:rFonts w:eastAsia="新細明體" w:hAnsi="新細明體" w:cs="Times New Roman" w:hint="eastAsia"/>
          <w:b w:val="0"/>
        </w:rPr>
        <w:t>。女性則仍以玫瑰精油最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具有抒壓效果</w:t>
      </w:r>
      <w:proofErr w:type="gramEnd"/>
      <w:r w:rsidRPr="007178DD">
        <w:rPr>
          <w:rStyle w:val="a6"/>
          <w:rFonts w:eastAsia="新細明體" w:hAnsi="新細明體" w:cs="Times New Roman"/>
          <w:b w:val="0"/>
        </w:rPr>
        <w:t>(P&lt;0.05</w:t>
      </w:r>
      <w:r w:rsidRPr="007178DD">
        <w:rPr>
          <w:rStyle w:val="a6"/>
          <w:rFonts w:eastAsia="新細明體" w:hAnsi="新細明體" w:cs="Times New Roman" w:hint="eastAsia"/>
          <w:b w:val="0"/>
        </w:rPr>
        <w:t>)</w:t>
      </w:r>
      <w:r w:rsidRPr="007178DD">
        <w:rPr>
          <w:rStyle w:val="a6"/>
          <w:rFonts w:eastAsia="新細明體" w:hAnsi="新細明體" w:cs="Times New Roman" w:hint="eastAsia"/>
          <w:b w:val="0"/>
        </w:rPr>
        <w:t>。</w:t>
      </w:r>
    </w:p>
    <w:p w:rsidR="007178DD" w:rsidRPr="007178DD" w:rsidRDefault="007178DD" w:rsidP="007178DD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7178DD" w:rsidRPr="007178DD" w:rsidRDefault="007178DD" w:rsidP="007178DD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7178DD">
        <w:rPr>
          <w:rStyle w:val="a6"/>
          <w:rFonts w:eastAsia="新細明體" w:hAnsi="新細明體" w:cs="Times New Roman" w:hint="eastAsia"/>
          <w:b w:val="0"/>
        </w:rPr>
        <w:t>關鍵字：腦電波、精油、抒壓</w:t>
      </w:r>
    </w:p>
    <w:p w:rsidR="007178DD" w:rsidRPr="007178DD" w:rsidRDefault="007178DD" w:rsidP="007178DD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7178DD" w:rsidRPr="007178DD" w:rsidRDefault="007178DD" w:rsidP="007178DD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7178DD">
        <w:rPr>
          <w:rStyle w:val="a6"/>
          <w:rFonts w:eastAsia="新細明體" w:hAnsi="新細明體" w:cs="Times New Roman" w:hint="eastAsia"/>
          <w:b w:val="0"/>
        </w:rPr>
        <w:t>隨著現今醫療技術的進步，人類對於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腦部的相關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研究也更加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深入，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腦波的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量測也不再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局限於動物腦部，對於人類許多腦部疾病的起因和治療方法也逐漸被發現，像是癲癇症的主要起因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腦部內神經細胞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不正常的過度放電而導致，若能取得癲癇病人在睡眠期間的丘腦訊號，並可進行分析，對於探討癲癇發作的機制有所幫助。</w:t>
      </w:r>
    </w:p>
    <w:p w:rsidR="007178DD" w:rsidRDefault="007178DD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  <w:r w:rsidRPr="007178DD">
        <w:rPr>
          <w:rStyle w:val="a6"/>
          <w:rFonts w:eastAsia="新細明體" w:hAnsi="新細明體" w:cs="Times New Roman" w:hint="eastAsia"/>
          <w:b w:val="0"/>
        </w:rPr>
        <w:t>腦波是腦的神經細胞共同產生的電波，科學家利用</w:t>
      </w:r>
      <w:proofErr w:type="gramStart"/>
      <w:r w:rsidRPr="007178DD">
        <w:rPr>
          <w:rStyle w:val="a6"/>
          <w:rFonts w:eastAsia="新細明體" w:hAnsi="新細明體" w:cs="Times New Roman" w:hint="eastAsia"/>
          <w:b w:val="0"/>
        </w:rPr>
        <w:t>腦波儀上的</w:t>
      </w:r>
      <w:proofErr w:type="gramEnd"/>
      <w:r w:rsidRPr="007178DD">
        <w:rPr>
          <w:rStyle w:val="a6"/>
          <w:rFonts w:eastAsia="新細明體" w:hAnsi="新細明體" w:cs="Times New Roman" w:hint="eastAsia"/>
          <w:b w:val="0"/>
        </w:rPr>
        <w:t>電極固定於頭皮部位，以紀錄大腦連續活動時電訊號表現情形，並藉由腦波的波型可以得知人體的精神狀態。因紀錄到的圖形為波浪線狀，又稱之為腦電波、腦波圖，並常簡稱為腦波。腦電波在臨床疾病判定上的應用其實已經非常廣泛，可以用於篩檢病患癲癇、憂鬱、老人癡呆、中風、腦炎、昏迷和其他腦疾病。也可以用於檢測心理狀態，例如生氣、愉悅、緊張、放鬆等。</w:t>
      </w:r>
    </w:p>
    <w:p w:rsidR="004C5279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C5279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C5279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C5279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C5279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C5279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C5279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p w:rsidR="004C5279" w:rsidRPr="007178DD" w:rsidRDefault="004C5279" w:rsidP="004C5279">
      <w:pPr>
        <w:pBdr>
          <w:bottom w:val="single" w:sz="4" w:space="1" w:color="auto"/>
        </w:pBdr>
        <w:rPr>
          <w:rStyle w:val="a6"/>
          <w:rFonts w:eastAsia="新細明體" w:hAnsi="新細明體" w:cs="Times New Roman"/>
          <w:b w:val="0"/>
        </w:rPr>
      </w:pPr>
    </w:p>
    <w:sectPr w:rsidR="004C5279" w:rsidRPr="007178DD" w:rsidSect="00B501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6B" w:rsidRDefault="003E596B" w:rsidP="00223E53">
      <w:r>
        <w:separator/>
      </w:r>
    </w:p>
  </w:endnote>
  <w:endnote w:type="continuationSeparator" w:id="0">
    <w:p w:rsidR="003E596B" w:rsidRDefault="003E596B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F9" w:rsidRDefault="002755F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F9" w:rsidRDefault="002755F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F9" w:rsidRDefault="002755F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6B" w:rsidRDefault="003E596B" w:rsidP="00223E53">
      <w:r>
        <w:separator/>
      </w:r>
    </w:p>
  </w:footnote>
  <w:footnote w:type="continuationSeparator" w:id="0">
    <w:p w:rsidR="003E596B" w:rsidRDefault="003E596B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F9" w:rsidRDefault="002755F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96B" w:rsidRPr="00B501AF" w:rsidRDefault="003E596B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F9" w:rsidRDefault="002755F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174DFA"/>
    <w:rsid w:val="001758BC"/>
    <w:rsid w:val="00223E53"/>
    <w:rsid w:val="002755F9"/>
    <w:rsid w:val="0029286C"/>
    <w:rsid w:val="002C2EA0"/>
    <w:rsid w:val="00303DFC"/>
    <w:rsid w:val="003E596B"/>
    <w:rsid w:val="00436E31"/>
    <w:rsid w:val="00486EE7"/>
    <w:rsid w:val="004C5279"/>
    <w:rsid w:val="004D2A90"/>
    <w:rsid w:val="00580DCB"/>
    <w:rsid w:val="0070191D"/>
    <w:rsid w:val="007178DD"/>
    <w:rsid w:val="00744763"/>
    <w:rsid w:val="007C2599"/>
    <w:rsid w:val="008067C5"/>
    <w:rsid w:val="00823135"/>
    <w:rsid w:val="00841051"/>
    <w:rsid w:val="00AC48ED"/>
    <w:rsid w:val="00AD52EA"/>
    <w:rsid w:val="00B501AF"/>
    <w:rsid w:val="00BC1A6F"/>
    <w:rsid w:val="00D44087"/>
    <w:rsid w:val="00DC101C"/>
    <w:rsid w:val="00DF0196"/>
    <w:rsid w:val="00E0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customStyle="1" w:styleId="msolistparagraph0">
    <w:name w:val="msolistparagraph"/>
    <w:basedOn w:val="a"/>
    <w:rsid w:val="007178DD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2218FE"/>
    <w:rsid w:val="00404D00"/>
    <w:rsid w:val="004A326E"/>
    <w:rsid w:val="005A2F0C"/>
    <w:rsid w:val="007841EC"/>
    <w:rsid w:val="00D0389D"/>
    <w:rsid w:val="00DF141B"/>
    <w:rsid w:val="00DF7395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4</cp:revision>
  <dcterms:created xsi:type="dcterms:W3CDTF">2013-08-19T08:36:00Z</dcterms:created>
  <dcterms:modified xsi:type="dcterms:W3CDTF">2013-09-26T11:18:00Z</dcterms:modified>
</cp:coreProperties>
</file>