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F5DD5">
            <w:rPr>
              <w:bCs/>
            </w:rPr>
            <w:t>韓文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F5DD5">
            <w:rPr>
              <w:bCs/>
            </w:rPr>
            <w:t>中文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3F5DD5">
            <w:rPr>
              <w:bCs/>
            </w:rPr>
            <w:t>電玩遊戲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841051" w:rsidRPr="007C2599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B501AF" w:rsidRPr="007C2599" w:rsidRDefault="00C1530C" w:rsidP="00841051">
      <w:pPr>
        <w:rPr>
          <w:b/>
        </w:rPr>
      </w:pP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위에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설명한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베드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족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즉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유적지를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조사하는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과정에서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이들은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원래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땅에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존재가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아닌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곳에서부터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이주해왔다는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가설에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확신을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가지게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되었습니다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유적지인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드래곤로드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지방에는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‘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캐리베스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’ (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역자주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: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캐리베스라는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말은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고대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쓰던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언어로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뜻은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‘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영원히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증오하라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’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라는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뜻이라고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합니다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)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라고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불리는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무덤유적지가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있는데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지방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수인들에게는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‘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캐리베스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’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관련해서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전해져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내려오는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안다론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정착에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관한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이야기가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있는데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순백색의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드래곤에게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쫓겨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어딘가의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대륙에서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집단으로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이곳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이베리아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이주해왔다는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내용입니다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오로지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자신들의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힘으로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헤엄을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쳐서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대륙까지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도착했던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것으로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보이며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의한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체력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탈진과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집요한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브레스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공격으로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많은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죽었고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와중에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끝까지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살아남은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자신들의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동료들의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시신을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수습해서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매장한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곳이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바로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‘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캐리베스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’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라는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유적지입니다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경황으로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미루어보건데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원래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이베리아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밖의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미지의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대륙에서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지금의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조상이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되는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존재들에게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드래곤과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관련된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다급한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사건이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벌어졌었던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것은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아닌지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추측됩니다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한가지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짚고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넘어가야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사항은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우리가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살아오면서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너무나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당연시되어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쉽게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간과했던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사실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중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하나인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“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과연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언제부터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이베리아에는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여러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이토록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자연스럽게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어울러져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것인가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?”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관한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것입니다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우리는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어렸을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때부터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종족별로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경계가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나뉘지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않고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하나의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공동체로서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함께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어울러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살아왔습니다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하지만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생태계의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법칙에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따르면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동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식물의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경우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일정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지역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범위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내에는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일반적으로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비슷한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종류가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서식하는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있습니다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그리고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별로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일정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영역을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설정하여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서로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범위를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침범하지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못하도록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경계선을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긋는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경우가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대부분입니다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하지만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이베리아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경우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너무나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자연스럽게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(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多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)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한데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어우러져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살아가고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것을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있습니다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. (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물론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고대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엘프나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드워프들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처럼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일부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배타적인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종족들도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존재하기는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합니다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)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인간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,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요정들이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태초부터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이렇게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함께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어울러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살았을까요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?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저는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수인뿐만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아니라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역시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아주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옛날에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미지의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대륙에서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이주해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온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것일지도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모른다는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가설을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바탕으로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이번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탐사계획을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세웠습니다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초점을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맞추어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한번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대륙에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아직까지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남아있는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각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종족들의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기원지의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유적과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고대문헌을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조사했으며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다음은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조사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내용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중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하나입니다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이번에는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특별히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이베리아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북서부의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블로네아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지방에서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아직까지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원시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요정들의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당시의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생활모습을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지키며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생활하고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‘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나일로드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크롬윈드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(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요정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. 223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세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)’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가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추장으로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있는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‘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운터스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발데르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>’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족을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방문하여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조사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내용과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그들에게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전해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내려오는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조상들의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이야기를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종합하여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다음과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같이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 </w:t>
      </w:r>
      <w:r w:rsidRPr="00C736B2">
        <w:rPr>
          <w:rFonts w:ascii="Batang" w:eastAsia="Batang" w:hAnsi="Batang" w:cs="Batang" w:hint="eastAsia"/>
          <w:color w:val="000000"/>
          <w:sz w:val="18"/>
          <w:szCs w:val="18"/>
          <w:lang w:eastAsia="ko-KR"/>
        </w:rPr>
        <w:t>정리했습니다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t xml:space="preserve">. </w:t>
      </w:r>
      <w:r w:rsidRPr="00C736B2">
        <w:rPr>
          <w:rFonts w:ascii="Verdana" w:hAnsi="Verdana"/>
          <w:color w:val="000000"/>
          <w:sz w:val="18"/>
          <w:szCs w:val="18"/>
          <w:lang w:eastAsia="ko-KR"/>
        </w:rPr>
        <w:br/>
      </w:r>
    </w:p>
    <w:sectPr w:rsidR="00B501AF" w:rsidRPr="007C2599" w:rsidSect="00AC02DF">
      <w:headerReference w:type="default" r:id="rId10"/>
      <w:pgSz w:w="11906" w:h="16838"/>
      <w:pgMar w:top="993" w:right="1134" w:bottom="28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664CF"/>
    <w:rsid w:val="000D178E"/>
    <w:rsid w:val="00115CFF"/>
    <w:rsid w:val="00174DFA"/>
    <w:rsid w:val="001758BC"/>
    <w:rsid w:val="001D552E"/>
    <w:rsid w:val="001F0C32"/>
    <w:rsid w:val="00223E53"/>
    <w:rsid w:val="0029286C"/>
    <w:rsid w:val="002B74F5"/>
    <w:rsid w:val="00303DFC"/>
    <w:rsid w:val="003F5DD5"/>
    <w:rsid w:val="00436E31"/>
    <w:rsid w:val="00486BC5"/>
    <w:rsid w:val="00486EE7"/>
    <w:rsid w:val="004D2A90"/>
    <w:rsid w:val="00580DCB"/>
    <w:rsid w:val="005E0BE7"/>
    <w:rsid w:val="0070191D"/>
    <w:rsid w:val="00744763"/>
    <w:rsid w:val="007C2599"/>
    <w:rsid w:val="00800E21"/>
    <w:rsid w:val="008067C5"/>
    <w:rsid w:val="00841051"/>
    <w:rsid w:val="00950D66"/>
    <w:rsid w:val="00AC02DF"/>
    <w:rsid w:val="00AC48ED"/>
    <w:rsid w:val="00B501AF"/>
    <w:rsid w:val="00BC1A6F"/>
    <w:rsid w:val="00C1530C"/>
    <w:rsid w:val="00CF5C6B"/>
    <w:rsid w:val="00D44087"/>
    <w:rsid w:val="00DC101C"/>
    <w:rsid w:val="00DF0196"/>
    <w:rsid w:val="00E04560"/>
    <w:rsid w:val="00F1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2218FE"/>
    <w:rsid w:val="0034324E"/>
    <w:rsid w:val="00404D00"/>
    <w:rsid w:val="00454698"/>
    <w:rsid w:val="005A2F0C"/>
    <w:rsid w:val="00812D74"/>
    <w:rsid w:val="00884A35"/>
    <w:rsid w:val="008D18C5"/>
    <w:rsid w:val="00CA0C37"/>
    <w:rsid w:val="00CB6E98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14</cp:revision>
  <dcterms:created xsi:type="dcterms:W3CDTF">2013-05-10T15:35:00Z</dcterms:created>
  <dcterms:modified xsi:type="dcterms:W3CDTF">2013-09-26T10:08:00Z</dcterms:modified>
</cp:coreProperties>
</file>