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87" w:type="dxa"/>
        <w:tblLayout w:type="fixed"/>
        <w:tblCellMar>
          <w:left w:w="28" w:type="dxa"/>
          <w:right w:w="28" w:type="dxa"/>
        </w:tblCellMar>
        <w:tblLook w:val="0000"/>
      </w:tblPr>
      <w:tblGrid>
        <w:gridCol w:w="2030"/>
        <w:gridCol w:w="2138"/>
        <w:gridCol w:w="5519"/>
      </w:tblGrid>
      <w:tr w:rsidR="00841051" w:rsidRPr="007C2599" w:rsidTr="00457E0C">
        <w:trPr>
          <w:cantSplit/>
          <w:trHeight w:val="307"/>
        </w:trPr>
        <w:tc>
          <w:tcPr>
            <w:tcW w:w="9687" w:type="dxa"/>
            <w:gridSpan w:val="3"/>
            <w:shd w:val="clear" w:color="auto" w:fill="0000FF"/>
          </w:tcPr>
          <w:p w:rsidR="00841051" w:rsidRPr="007C2599" w:rsidRDefault="00841051" w:rsidP="00457E0C">
            <w:pPr>
              <w:pStyle w:val="Web"/>
              <w:wordWrap w:val="0"/>
              <w:spacing w:line="240" w:lineRule="exact"/>
              <w:jc w:val="right"/>
              <w:rPr>
                <w:rFonts w:asciiTheme="minorHAnsi" w:hAnsiTheme="minorHAnsi" w:cs="Arial"/>
                <w:b/>
                <w:bCs/>
                <w:szCs w:val="36"/>
              </w:rPr>
            </w:pPr>
            <w:r w:rsidRPr="007C2599">
              <w:rPr>
                <w:rFonts w:asciiTheme="minorHAnsi" w:hAnsiTheme="minorHAnsi" w:cs="Arial"/>
                <w:b/>
                <w:bCs/>
                <w:i/>
                <w:iCs/>
                <w:color w:val="FFFFFF"/>
                <w:szCs w:val="36"/>
              </w:rPr>
              <w:t>24 hours Online Service</w:t>
            </w:r>
            <w:r w:rsidRPr="007C2599">
              <w:rPr>
                <w:rFonts w:asciiTheme="minorHAnsi" w:hAnsiTheme="minorHAnsi" w:cs="Arial"/>
                <w:b/>
                <w:bCs/>
                <w:szCs w:val="36"/>
              </w:rPr>
              <w:t xml:space="preserve">  </w:t>
            </w:r>
            <w:r w:rsidRPr="007C2599">
              <w:rPr>
                <w:rFonts w:asciiTheme="minorHAnsi" w:hAnsiTheme="minorHAnsi" w:cs="Arial"/>
                <w:b/>
                <w:bCs/>
                <w:color w:val="FFFFFF"/>
                <w:szCs w:val="36"/>
              </w:rPr>
              <w:t xml:space="preserve"> </w:t>
            </w:r>
            <w:r w:rsidRPr="007C2599">
              <w:rPr>
                <w:rFonts w:asciiTheme="minorHAnsi" w:hAnsiTheme="minorHAnsi" w:cs="Arial"/>
                <w:b/>
                <w:bCs/>
                <w:i/>
                <w:iCs/>
                <w:color w:val="FFFFFF"/>
                <w:szCs w:val="36"/>
                <w:u w:val="single"/>
              </w:rPr>
              <w:t>www.PTSGI.com</w:t>
            </w:r>
            <w:r w:rsidRPr="007C2599">
              <w:rPr>
                <w:rFonts w:asciiTheme="minorHAnsi" w:hAnsiTheme="minorHAnsi" w:cs="Arial"/>
                <w:b/>
                <w:bCs/>
                <w:color w:val="FFFFFF"/>
                <w:szCs w:val="36"/>
              </w:rPr>
              <w:t xml:space="preserve"> </w:t>
            </w:r>
          </w:p>
        </w:tc>
      </w:tr>
      <w:tr w:rsidR="00841051" w:rsidRPr="007C2599" w:rsidTr="00457E0C">
        <w:trPr>
          <w:cantSplit/>
          <w:trHeight w:val="80"/>
        </w:trPr>
        <w:tc>
          <w:tcPr>
            <w:tcW w:w="9687" w:type="dxa"/>
            <w:gridSpan w:val="3"/>
            <w:shd w:val="clear" w:color="auto" w:fill="E0E0E0"/>
          </w:tcPr>
          <w:p w:rsidR="00841051" w:rsidRPr="007C2599" w:rsidRDefault="00841051" w:rsidP="00457E0C">
            <w:pPr>
              <w:pStyle w:val="Web"/>
              <w:spacing w:before="0" w:beforeAutospacing="0" w:after="0" w:afterAutospacing="0" w:line="20" w:lineRule="exact"/>
              <w:jc w:val="right"/>
              <w:rPr>
                <w:rFonts w:asciiTheme="minorHAnsi" w:hAnsiTheme="minorHAnsi"/>
                <w:b/>
                <w:bCs/>
                <w:sz w:val="36"/>
                <w:szCs w:val="36"/>
              </w:rPr>
            </w:pPr>
          </w:p>
        </w:tc>
      </w:tr>
      <w:tr w:rsidR="00841051" w:rsidRPr="007C2599" w:rsidTr="00457E0C">
        <w:trPr>
          <w:cantSplit/>
          <w:trHeight w:val="865"/>
        </w:trPr>
        <w:tc>
          <w:tcPr>
            <w:tcW w:w="2030" w:type="dxa"/>
          </w:tcPr>
          <w:p w:rsidR="00841051" w:rsidRPr="007C2599" w:rsidRDefault="00841051" w:rsidP="00457E0C">
            <w:pPr>
              <w:pStyle w:val="Web"/>
              <w:jc w:val="both"/>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1085850" cy="304800"/>
                  <wp:effectExtent l="19050" t="0" r="0" b="0"/>
                  <wp:docPr id="31" name="圖片 31" descr="ptsg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tsgi_logo"/>
                          <pic:cNvPicPr>
                            <a:picLocks noChangeAspect="1" noChangeArrowheads="1"/>
                          </pic:cNvPicPr>
                        </pic:nvPicPr>
                        <pic:blipFill>
                          <a:blip r:embed="rId7" cstate="print"/>
                          <a:srcRect/>
                          <a:stretch>
                            <a:fillRect/>
                          </a:stretch>
                        </pic:blipFill>
                        <pic:spPr bwMode="auto">
                          <a:xfrm>
                            <a:off x="0" y="0"/>
                            <a:ext cx="1085850" cy="304800"/>
                          </a:xfrm>
                          <a:prstGeom prst="rect">
                            <a:avLst/>
                          </a:prstGeom>
                          <a:noFill/>
                          <a:ln w="9525">
                            <a:noFill/>
                            <a:miter lim="800000"/>
                            <a:headEnd/>
                            <a:tailEnd/>
                          </a:ln>
                        </pic:spPr>
                      </pic:pic>
                    </a:graphicData>
                  </a:graphic>
                </wp:inline>
              </w:drawing>
            </w:r>
          </w:p>
        </w:tc>
        <w:tc>
          <w:tcPr>
            <w:tcW w:w="2138" w:type="dxa"/>
          </w:tcPr>
          <w:p w:rsidR="00841051" w:rsidRPr="007C2599" w:rsidRDefault="00841051" w:rsidP="00457E0C">
            <w:pPr>
              <w:pStyle w:val="Web"/>
              <w:jc w:val="both"/>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1228725" cy="333375"/>
                  <wp:effectExtent l="19050" t="0" r="9525" b="0"/>
                  <wp:docPr id="32" name="圖片 32" descr="AT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TS-logo"/>
                          <pic:cNvPicPr>
                            <a:picLocks noChangeAspect="1" noChangeArrowheads="1"/>
                          </pic:cNvPicPr>
                        </pic:nvPicPr>
                        <pic:blipFill>
                          <a:blip r:embed="rId8" cstate="print"/>
                          <a:srcRect/>
                          <a:stretch>
                            <a:fillRect/>
                          </a:stretch>
                        </pic:blipFill>
                        <pic:spPr bwMode="auto">
                          <a:xfrm>
                            <a:off x="0" y="0"/>
                            <a:ext cx="1228725" cy="333375"/>
                          </a:xfrm>
                          <a:prstGeom prst="rect">
                            <a:avLst/>
                          </a:prstGeom>
                          <a:noFill/>
                          <a:ln w="9525">
                            <a:noFill/>
                            <a:miter lim="800000"/>
                            <a:headEnd/>
                            <a:tailEnd/>
                          </a:ln>
                        </pic:spPr>
                      </pic:pic>
                    </a:graphicData>
                  </a:graphic>
                </wp:inline>
              </w:drawing>
            </w:r>
          </w:p>
        </w:tc>
        <w:tc>
          <w:tcPr>
            <w:tcW w:w="5519" w:type="dxa"/>
          </w:tcPr>
          <w:p w:rsidR="00841051" w:rsidRPr="007C2599" w:rsidRDefault="00841051" w:rsidP="00457E0C">
            <w:pPr>
              <w:pStyle w:val="Web"/>
              <w:jc w:val="right"/>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3371850" cy="457200"/>
                  <wp:effectExtent l="19050" t="0" r="0" b="0"/>
                  <wp:docPr id="33" name="圖片 33" descr="bann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nner1"/>
                          <pic:cNvPicPr>
                            <a:picLocks noChangeAspect="1" noChangeArrowheads="1"/>
                          </pic:cNvPicPr>
                        </pic:nvPicPr>
                        <pic:blipFill>
                          <a:blip r:embed="rId9" cstate="print"/>
                          <a:srcRect/>
                          <a:stretch>
                            <a:fillRect/>
                          </a:stretch>
                        </pic:blipFill>
                        <pic:spPr bwMode="auto">
                          <a:xfrm>
                            <a:off x="0" y="0"/>
                            <a:ext cx="3371850" cy="457200"/>
                          </a:xfrm>
                          <a:prstGeom prst="rect">
                            <a:avLst/>
                          </a:prstGeom>
                          <a:noFill/>
                          <a:ln w="9525">
                            <a:noFill/>
                            <a:miter lim="800000"/>
                            <a:headEnd/>
                            <a:tailEnd/>
                          </a:ln>
                        </pic:spPr>
                      </pic:pic>
                    </a:graphicData>
                  </a:graphic>
                </wp:inline>
              </w:drawing>
            </w:r>
          </w:p>
        </w:tc>
      </w:tr>
    </w:tbl>
    <w:p w:rsidR="00DF0196" w:rsidRPr="007C2599" w:rsidRDefault="00841051" w:rsidP="00841051">
      <w:pPr>
        <w:pBdr>
          <w:bottom w:val="single" w:sz="6" w:space="1" w:color="auto"/>
        </w:pBdr>
        <w:spacing w:line="400" w:lineRule="exact"/>
        <w:rPr>
          <w:b/>
          <w:sz w:val="40"/>
          <w:szCs w:val="40"/>
        </w:rPr>
      </w:pPr>
      <w:r w:rsidRPr="007C2599">
        <w:rPr>
          <w:b/>
          <w:sz w:val="40"/>
          <w:szCs w:val="40"/>
        </w:rPr>
        <w:t>翻譯測試稿</w:t>
      </w:r>
    </w:p>
    <w:p w:rsidR="00841051" w:rsidRPr="007C2599" w:rsidRDefault="00841051" w:rsidP="00841051">
      <w:pPr>
        <w:pBdr>
          <w:bottom w:val="single" w:sz="4" w:space="1" w:color="auto"/>
        </w:pBdr>
        <w:jc w:val="both"/>
        <w:rPr>
          <w:rFonts w:eastAsia="新細明體" w:cs="Times New Roman"/>
          <w:b/>
          <w:bCs/>
        </w:rPr>
      </w:pPr>
      <w:r w:rsidRPr="007C2599">
        <w:rPr>
          <w:rFonts w:eastAsia="新細明體" w:hAnsi="新細明體" w:cs="Times New Roman"/>
          <w:b/>
          <w:bCs/>
          <w:u w:val="single"/>
        </w:rPr>
        <w:t>語文：</w:t>
      </w:r>
      <w:sdt>
        <w:sdtPr>
          <w:rPr>
            <w:bCs/>
          </w:rPr>
          <w:alias w:val="語言別"/>
          <w:id w:val="21108293"/>
          <w:placeholder>
            <w:docPart w:val="1D875ED3CCF64D4DB9D5939F9CFEE352"/>
          </w:placeholder>
          <w:dropDownList>
            <w:listItem w:value="選擇一個項目。"/>
            <w:listItem w:displayText="中文" w:value="中文"/>
            <w:listItem w:displayText="英文" w:value="英文"/>
            <w:listItem w:displayText="法文" w:value="法文"/>
            <w:listItem w:displayText="日文" w:value="日文"/>
            <w:listItem w:displayText="韓文" w:value="韓文"/>
            <w:listItem w:displayText="德文" w:value="德文"/>
            <w:listItem w:displayText="西班牙文" w:value="西班牙文"/>
            <w:listItem w:displayText="葡萄牙文" w:value="葡萄牙文"/>
            <w:listItem w:displayText="義大利文" w:value="義大利文"/>
            <w:listItem w:displayText="俄文" w:value="俄文"/>
            <w:listItem w:displayText="捷克文" w:value="捷克文"/>
            <w:listItem w:displayText="希臘文" w:value="希臘文"/>
            <w:listItem w:displayText="波蘭文" w:value="波蘭文"/>
            <w:listItem w:displayText="芬蘭文" w:value="芬蘭文"/>
            <w:listItem w:displayText="土耳其文" w:value="土耳其文"/>
            <w:listItem w:displayText="瑞典文" w:value="瑞典文"/>
            <w:listItem w:displayText="荷蘭文" w:value="荷蘭文"/>
            <w:listItem w:displayText="丹麥文" w:value="丹麥文"/>
            <w:listItem w:displayText="匈牙利文" w:value="匈牙利文"/>
            <w:listItem w:displayText="阿拉伯文" w:value="阿拉伯文"/>
            <w:listItem w:displayText="泰文" w:value="泰文"/>
            <w:listItem w:displayText="印度文" w:value="印度文"/>
            <w:listItem w:displayText="馬來文" w:value="馬來文"/>
            <w:listItem w:displayText="印尼文" w:value="印尼文"/>
            <w:listItem w:displayText="緬甸文" w:value="緬甸文"/>
            <w:listItem w:displayText="菲律賓文" w:value="菲律賓文"/>
            <w:listItem w:displayText="斯洛伐克文" w:value="斯洛伐克文"/>
            <w:listItem w:displayText="斯洛維尼亞文" w:value="斯洛維尼亞文"/>
            <w:listItem w:displayText="愛沙尼亞文" w:value="愛沙尼亞文"/>
            <w:listItem w:displayText="愛爾蘭文" w:value="愛爾蘭文"/>
            <w:listItem w:displayText="立陶宛文" w:value="立陶宛文"/>
            <w:listItem w:displayText="烏茲別克文" w:value="烏茲別克文"/>
            <w:listItem w:displayText="拉丁文" w:value="拉丁文"/>
            <w:listItem w:displayText="孟加拉文" w:value="孟加拉文"/>
            <w:listItem w:displayText="不丹文" w:value="不丹文"/>
            <w:listItem w:displayText="克羅埃西亞文" w:value="克羅埃西亞文"/>
            <w:listItem w:displayText="塞爾維亞文" w:value="塞爾維亞文"/>
            <w:listItem w:displayText="希伯來文" w:value="希伯來文"/>
            <w:listItem w:displayText="波斯文" w:value="波斯文"/>
            <w:listItem w:displayText="高棉文" w:value="高棉文"/>
            <w:listItem w:displayText="蒙古文" w:value="蒙古文"/>
          </w:dropDownList>
        </w:sdtPr>
        <w:sdtContent>
          <w:r w:rsidR="005E0BE7">
            <w:rPr>
              <w:bCs/>
            </w:rPr>
            <w:t>中文</w:t>
          </w:r>
        </w:sdtContent>
      </w:sdt>
      <w:r w:rsidRPr="007C2599">
        <w:rPr>
          <w:rFonts w:hAnsiTheme="minorEastAsia"/>
          <w:bCs/>
        </w:rPr>
        <w:t>翻</w:t>
      </w:r>
      <w:sdt>
        <w:sdtPr>
          <w:rPr>
            <w:bCs/>
          </w:rPr>
          <w:alias w:val="語言別"/>
          <w:tag w:val="語言別"/>
          <w:id w:val="3587555"/>
          <w:placeholder>
            <w:docPart w:val="FE74831ED88E4ADFAE78AACCB8B3E79B"/>
          </w:placeholder>
          <w:dropDownList>
            <w:listItem w:value="選擇一個項目。"/>
            <w:listItem w:displayText="中文" w:value="中文"/>
            <w:listItem w:displayText="英文" w:value="英文"/>
            <w:listItem w:displayText="法文" w:value="法文"/>
            <w:listItem w:displayText="日文" w:value="日文"/>
            <w:listItem w:displayText="韓文" w:value="韓文"/>
            <w:listItem w:displayText="德文" w:value="德文"/>
            <w:listItem w:displayText="西班牙文" w:value="西班牙文"/>
            <w:listItem w:displayText="葡萄牙文" w:value="葡萄牙文"/>
            <w:listItem w:displayText="義大利文" w:value="義大利文"/>
            <w:listItem w:displayText="俄文" w:value="俄文"/>
            <w:listItem w:displayText="捷克文" w:value="捷克文"/>
            <w:listItem w:displayText="希臘文" w:value="希臘文"/>
            <w:listItem w:displayText="波蘭文" w:value="波蘭文"/>
            <w:listItem w:displayText="芬蘭文" w:value="芬蘭文"/>
            <w:listItem w:displayText="土耳其文" w:value="土耳其文"/>
            <w:listItem w:displayText="瑞典文" w:value="瑞典文"/>
            <w:listItem w:displayText="荷蘭文" w:value="荷蘭文"/>
            <w:listItem w:displayText="丹麥文" w:value="丹麥文"/>
            <w:listItem w:displayText="匈牙利文" w:value="匈牙利文"/>
            <w:listItem w:displayText="阿拉伯文" w:value="阿拉伯文"/>
            <w:listItem w:displayText="泰文" w:value="泰文"/>
            <w:listItem w:displayText="印度文" w:value="印度文"/>
            <w:listItem w:displayText="馬來文" w:value="馬來文"/>
            <w:listItem w:displayText="印尼文" w:value="印尼文"/>
            <w:listItem w:displayText="越南文" w:value="越南文"/>
            <w:listItem w:displayText="緬甸文" w:value="緬甸文"/>
            <w:listItem w:displayText="菲律賓文" w:value="菲律賓文"/>
            <w:listItem w:displayText="斯洛伐克文" w:value="斯洛伐克文"/>
            <w:listItem w:displayText="斯洛維尼亞文" w:value="斯洛維尼亞文"/>
            <w:listItem w:displayText="愛沙尼亞文" w:value="愛沙尼亞文"/>
            <w:listItem w:displayText="愛爾蘭文" w:value="愛爾蘭文"/>
            <w:listItem w:displayText="立陶宛文" w:value="立陶宛文"/>
            <w:listItem w:displayText="烏茲別克文" w:value="烏茲別克文"/>
            <w:listItem w:displayText="拉丁文" w:value="拉丁文"/>
            <w:listItem w:displayText="孟加拉文" w:value="孟加拉文"/>
            <w:listItem w:displayText="不丹文" w:value="不丹文"/>
            <w:listItem w:displayText="克羅埃西亞文" w:value="克羅埃西亞文"/>
            <w:listItem w:displayText="塞爾維亞文" w:value="塞爾維亞文"/>
            <w:listItem w:displayText="希伯來文" w:value="希伯來文"/>
            <w:listItem w:displayText="波斯文" w:value="波斯文"/>
            <w:listItem w:displayText="高棉文" w:value="高棉文"/>
            <w:listItem w:displayText="蒙古文" w:value="蒙古文"/>
          </w:dropDownList>
        </w:sdtPr>
        <w:sdtContent>
          <w:r w:rsidR="00147D34">
            <w:rPr>
              <w:bCs/>
            </w:rPr>
            <w:t>日文</w:t>
          </w:r>
        </w:sdtContent>
      </w:sdt>
    </w:p>
    <w:p w:rsidR="00841051" w:rsidRPr="007C2599" w:rsidRDefault="00841051" w:rsidP="00841051">
      <w:pPr>
        <w:pBdr>
          <w:bottom w:val="single" w:sz="4" w:space="1" w:color="auto"/>
        </w:pBdr>
        <w:jc w:val="both"/>
        <w:rPr>
          <w:rFonts w:eastAsia="新細明體" w:cs="Times New Roman"/>
          <w:bCs/>
        </w:rPr>
      </w:pPr>
      <w:r w:rsidRPr="007C2599">
        <w:rPr>
          <w:rFonts w:eastAsia="新細明體" w:hAnsi="新細明體" w:cs="Times New Roman"/>
          <w:b/>
          <w:bCs/>
          <w:u w:val="single"/>
        </w:rPr>
        <w:t>類型：</w:t>
      </w:r>
      <w:sdt>
        <w:sdtPr>
          <w:rPr>
            <w:bCs/>
          </w:rPr>
          <w:alias w:val="專長別"/>
          <w:tag w:val="專長別"/>
          <w:id w:val="3587559"/>
          <w:placeholder>
            <w:docPart w:val="BFA578242E374FC8869D9DB34343FAAB"/>
          </w:placeholder>
          <w:dropDownList>
            <w:listItem w:value="選擇一個項目。"/>
            <w:listItem w:displayText="會計稅務" w:value="會計稅務"/>
            <w:listItem w:displayText="廣告行銷" w:value="廣告行銷"/>
            <w:listItem w:displayText="航太" w:value="航太"/>
            <w:listItem w:displayText="農林漁牧" w:value="農林漁牧"/>
            <w:listItem w:displayText="動物" w:value="動物"/>
            <w:listItem w:displayText="建築/室內設計" w:value="建築/室內設計"/>
            <w:listItem w:displayText="藝術" w:value="藝術"/>
            <w:listItem w:displayText="天文" w:value="天文"/>
            <w:listItem w:displayText="汽車" w:value="汽車"/>
            <w:listItem w:displayText="生物化學" w:value="生物化學"/>
            <w:listItem w:displayText="植物" w:value="植物"/>
            <w:listItem w:displayText="企管" w:value="企管"/>
            <w:listItem w:displayText="商業貿易" w:value="商業貿易"/>
            <w:listItem w:displayText="化學化工" w:value="化學化工"/>
            <w:listItem w:displayText="土木" w:value="土木"/>
            <w:listItem w:displayText="電腦硬體" w:value="電腦硬體"/>
            <w:listItem w:displayText="電腦軟體" w:value="電腦軟體"/>
            <w:listItem w:displayText="營造工程" w:value="營造工程"/>
            <w:listItem w:displayText="美容" w:value="美容"/>
            <w:listItem w:displayText="地球科學" w:value="地球科學"/>
            <w:listItem w:displayText="教育" w:value="教育"/>
            <w:listItem w:displayText="電機" w:value="電機"/>
            <w:listItem w:displayText="電子" w:value="電子"/>
            <w:listItem w:displayText="能源/發電" w:value="能源/發電"/>
            <w:listItem w:displayText="環保" w:value="環保"/>
            <w:listItem w:displayText="時尚" w:value="時尚"/>
            <w:listItem w:displayText="財務經濟" w:value="財務經濟"/>
            <w:listItem w:displayText="消防" w:value="消防"/>
            <w:listItem w:displayText="食物/餐飲" w:value="食物/餐飲"/>
            <w:listItem w:displayText="外匯金融" w:value="外匯金融"/>
            <w:listItem w:displayText="電玩遊戲" w:value="電玩遊戲"/>
            <w:listItem w:displayText="歷史" w:value="歷史"/>
            <w:listItem w:displayText="工業安全" w:value="工業安全"/>
            <w:listItem w:displayText="保險" w:value="保險"/>
            <w:listItem w:displayText="ISO" w:value="ISO"/>
            <w:listItem w:displayText="珠寶" w:value="珠寶"/>
            <w:listItem w:displayText="法律" w:value="法律"/>
            <w:listItem w:displayText="文學" w:value="文學"/>
            <w:listItem w:displayText="機械" w:value="機械"/>
            <w:listItem w:displayText="醫療器材" w:value="醫療器材"/>
            <w:listItem w:displayText="醫學" w:value="醫學"/>
            <w:listItem w:displayText="軍事國防" w:value="軍事國防"/>
            <w:listItem w:displayText="礦業" w:value="礦業"/>
            <w:listItem w:displayText="電影字幕" w:value="電影字幕"/>
            <w:listItem w:displayText="捷運/高鐵" w:value="捷運/高鐵"/>
            <w:listItem w:displayText="音樂" w:value="音樂"/>
            <w:listItem w:displayText="公證/移民" w:value="公證/移民"/>
            <w:listItem w:displayText="核能/核子科學" w:value="核能/核子科學"/>
            <w:listItem w:displayText="專利" w:value="專利"/>
            <w:listItem w:displayText="石油科學" w:value="石油科學"/>
            <w:listItem w:displayText="藥學" w:value="藥學"/>
            <w:listItem w:displayText="體育" w:value="體育"/>
            <w:listItem w:displayText="物理/光學" w:value="物理/光學"/>
            <w:listItem w:displayText="政治" w:value="政治"/>
            <w:listItem w:displayText="印刷/出版" w:value="印刷/出版"/>
            <w:listItem w:displayText="心理學" w:value="心理學"/>
            <w:listItem w:displayText="宗教" w:value="宗教"/>
            <w:listItem w:displayText="證券" w:value="證券"/>
            <w:listItem w:displayText="半導體" w:value="半導體"/>
            <w:listItem w:displayText="社會學" w:value="社會學"/>
            <w:listItem w:displayText="運動" w:value="運動"/>
            <w:listItem w:displayText="統計" w:value="統計"/>
            <w:listItem w:displayText="留學" w:value="留學"/>
            <w:listItem w:displayText="中醫" w:value="中醫"/>
            <w:listItem w:displayText="技術手冊" w:value="技術手冊"/>
            <w:listItem w:displayText="電信" w:value="電信"/>
            <w:listItem w:displayText="紡織" w:value="紡織"/>
            <w:listItem w:displayText="戲劇" w:value="戲劇"/>
            <w:listItem w:displayText="旅遊" w:value="旅遊"/>
            <w:listItem w:displayText="交通運輸" w:value="交通運輸"/>
            <w:listItem w:displayText="都市計劃" w:value="都市計劃"/>
            <w:listItem w:displayText="酒類" w:value="酒類"/>
          </w:dropDownList>
        </w:sdtPr>
        <w:sdtContent>
          <w:r w:rsidR="00147D34">
            <w:rPr>
              <w:bCs/>
            </w:rPr>
            <w:t>財務經濟</w:t>
          </w:r>
        </w:sdtContent>
      </w:sdt>
      <w:r w:rsidRPr="007C2599">
        <w:rPr>
          <w:bCs/>
        </w:rPr>
        <w:t xml:space="preserve"> </w:t>
      </w:r>
    </w:p>
    <w:p w:rsidR="00841051" w:rsidRPr="007C2599" w:rsidRDefault="00841051" w:rsidP="00841051">
      <w:pPr>
        <w:pBdr>
          <w:bottom w:val="single" w:sz="4" w:space="1" w:color="auto"/>
        </w:pBdr>
        <w:rPr>
          <w:rFonts w:eastAsia="新細明體" w:cs="Times New Roman"/>
          <w:b/>
          <w:bCs/>
          <w:u w:val="single"/>
        </w:rPr>
      </w:pPr>
      <w:r w:rsidRPr="007C2599">
        <w:rPr>
          <w:rFonts w:eastAsia="新細明體" w:hAnsi="新細明體" w:cs="Times New Roman"/>
          <w:b/>
          <w:bCs/>
          <w:u w:val="single"/>
        </w:rPr>
        <w:t>注意事項：</w:t>
      </w:r>
    </w:p>
    <w:p w:rsidR="00841051" w:rsidRPr="007C2599" w:rsidRDefault="00841051" w:rsidP="00841051">
      <w:pPr>
        <w:pBdr>
          <w:bottom w:val="single" w:sz="4" w:space="1" w:color="auto"/>
        </w:pBdr>
        <w:rPr>
          <w:rStyle w:val="a6"/>
          <w:rFonts w:eastAsia="新細明體" w:cs="Times New Roman"/>
          <w:b w:val="0"/>
        </w:rPr>
      </w:pPr>
      <w:r w:rsidRPr="007C2599">
        <w:rPr>
          <w:bCs/>
        </w:rPr>
        <w:t>1.</w:t>
      </w:r>
      <w:r w:rsidRPr="007C2599">
        <w:rPr>
          <w:rFonts w:eastAsia="新細明體" w:hAnsi="新細明體" w:cs="Times New Roman"/>
          <w:bCs/>
        </w:rPr>
        <w:t>請將</w:t>
      </w:r>
      <w:r w:rsidR="004D2A90" w:rsidRPr="007C2599">
        <w:rPr>
          <w:rFonts w:eastAsia="新細明體" w:hAnsi="新細明體" w:cs="Times New Roman"/>
          <w:bCs/>
        </w:rPr>
        <w:t>全部的</w:t>
      </w:r>
      <w:r w:rsidRPr="007C2599">
        <w:rPr>
          <w:rStyle w:val="a6"/>
          <w:rFonts w:eastAsia="新細明體" w:hAnsi="新細明體" w:cs="Times New Roman"/>
          <w:b w:val="0"/>
        </w:rPr>
        <w:t>譯文置於原文之後。</w:t>
      </w:r>
    </w:p>
    <w:p w:rsidR="00841051" w:rsidRPr="007C2599" w:rsidRDefault="00841051" w:rsidP="00841051">
      <w:pPr>
        <w:pBdr>
          <w:bottom w:val="single" w:sz="4" w:space="1" w:color="auto"/>
        </w:pBdr>
        <w:rPr>
          <w:rStyle w:val="a6"/>
          <w:rFonts w:eastAsia="新細明體" w:cs="Times New Roman"/>
          <w:b w:val="0"/>
        </w:rPr>
      </w:pPr>
      <w:r w:rsidRPr="007C2599">
        <w:rPr>
          <w:rStyle w:val="a6"/>
          <w:b w:val="0"/>
        </w:rPr>
        <w:t>2.</w:t>
      </w:r>
      <w:r w:rsidRPr="007C2599">
        <w:rPr>
          <w:rStyle w:val="a6"/>
          <w:rFonts w:eastAsia="新細明體" w:hAnsi="新細明體" w:cs="Times New Roman"/>
          <w:b w:val="0"/>
        </w:rPr>
        <w:t>測試稿檔名的命名方式</w:t>
      </w:r>
      <w:r w:rsidR="004D2A90" w:rsidRPr="007C2599">
        <w:rPr>
          <w:rStyle w:val="a6"/>
          <w:rFonts w:eastAsia="新細明體" w:hAnsi="新細明體" w:cs="Times New Roman"/>
          <w:b w:val="0"/>
        </w:rPr>
        <w:t>為「測試稿名稱</w:t>
      </w:r>
      <w:r w:rsidR="00B501AF" w:rsidRPr="007C2599">
        <w:rPr>
          <w:rStyle w:val="a6"/>
          <w:rFonts w:eastAsia="新細明體" w:cs="Times New Roman"/>
          <w:b w:val="0"/>
        </w:rPr>
        <w:t>-</w:t>
      </w:r>
      <w:r w:rsidR="00B501AF" w:rsidRPr="007C2599">
        <w:rPr>
          <w:rStyle w:val="a6"/>
          <w:rFonts w:eastAsia="新細明體" w:hAnsi="新細明體" w:cs="Times New Roman"/>
          <w:b w:val="0"/>
        </w:rPr>
        <w:t>姓名</w:t>
      </w:r>
      <w:r w:rsidR="004D2A90" w:rsidRPr="007C2599">
        <w:rPr>
          <w:rStyle w:val="a6"/>
          <w:rFonts w:eastAsia="新細明體" w:hAnsi="新細明體" w:cs="Times New Roman"/>
          <w:b w:val="0"/>
        </w:rPr>
        <w:t>」</w:t>
      </w:r>
      <w:r w:rsidRPr="007C2599">
        <w:rPr>
          <w:rStyle w:val="a6"/>
          <w:rFonts w:eastAsia="新細明體" w:hAnsi="新細明體" w:cs="Times New Roman"/>
          <w:b w:val="0"/>
        </w:rPr>
        <w:t>，例：</w:t>
      </w:r>
      <w:r w:rsidR="004D2A90" w:rsidRPr="007C2599">
        <w:rPr>
          <w:rStyle w:val="a6"/>
          <w:rFonts w:eastAsia="新細明體" w:hAnsi="新細明體" w:cs="Times New Roman"/>
          <w:b w:val="0"/>
        </w:rPr>
        <w:t>「文學</w:t>
      </w:r>
      <w:r w:rsidR="00B501AF" w:rsidRPr="007C2599">
        <w:rPr>
          <w:rStyle w:val="a6"/>
          <w:rFonts w:eastAsia="新細明體" w:cs="Times New Roman"/>
          <w:b w:val="0"/>
        </w:rPr>
        <w:t>-</w:t>
      </w:r>
      <w:r w:rsidR="00B501AF" w:rsidRPr="007C2599">
        <w:rPr>
          <w:rStyle w:val="a6"/>
          <w:rFonts w:eastAsia="新細明體" w:hAnsi="新細明體" w:cs="Times New Roman"/>
          <w:b w:val="0"/>
        </w:rPr>
        <w:t>王小明</w:t>
      </w:r>
      <w:r w:rsidR="004D2A90" w:rsidRPr="007C2599">
        <w:rPr>
          <w:rStyle w:val="a6"/>
          <w:rFonts w:eastAsia="新細明體" w:hAnsi="新細明體" w:cs="Times New Roman"/>
          <w:b w:val="0"/>
        </w:rPr>
        <w:t>」</w:t>
      </w:r>
      <w:r w:rsidRPr="007C2599">
        <w:rPr>
          <w:rStyle w:val="a6"/>
          <w:rFonts w:eastAsia="新細明體" w:hAnsi="新細明體" w:cs="Times New Roman"/>
          <w:b w:val="0"/>
        </w:rPr>
        <w:t>。</w:t>
      </w:r>
    </w:p>
    <w:p w:rsidR="00841051" w:rsidRDefault="00841051" w:rsidP="00841051">
      <w:pPr>
        <w:rPr>
          <w:b/>
        </w:rPr>
      </w:pPr>
      <w:r w:rsidRPr="007C2599">
        <w:rPr>
          <w:b/>
        </w:rPr>
        <w:t>原文：</w:t>
      </w:r>
    </w:p>
    <w:p w:rsidR="00765358" w:rsidRDefault="00147D34" w:rsidP="00147D34">
      <w:pPr>
        <w:pBdr>
          <w:bottom w:val="single" w:sz="4" w:space="1" w:color="auto"/>
        </w:pBd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由於計畫之財務評估係建立於預測之基礎上，計畫所設定之基本假設與參數足以影響評估之結果及規劃方向。本案在財務可行性分析時所設定之主要基本假設與參數務求穩健並能符合實際情況，惟未來若因政府相關規定、物價水準變動時，則將依據實際開發營運時之狀況計</w:t>
      </w:r>
    </w:p>
    <w:p w:rsidR="00147D34" w:rsidRPr="00765358" w:rsidRDefault="00147D34" w:rsidP="00147D34">
      <w:pPr>
        <w:pBdr>
          <w:bottom w:val="single" w:sz="4" w:space="1" w:color="auto"/>
        </w:pBd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算調整之。相關假設如表5.1所示。</w:t>
      </w:r>
    </w:p>
    <w:p w:rsidR="00765358" w:rsidRDefault="00765358" w:rsidP="00147D34">
      <w:pPr>
        <w:pBdr>
          <w:bottom w:val="single" w:sz="4" w:space="1" w:color="auto"/>
        </w:pBdr>
        <w:rPr>
          <w:rStyle w:val="a6"/>
          <w:rFonts w:asciiTheme="majorEastAsia" w:eastAsiaTheme="majorEastAsia" w:hAnsiTheme="majorEastAsia" w:cs="Times New Roman"/>
          <w:b w:val="0"/>
        </w:rPr>
      </w:pPr>
    </w:p>
    <w:p w:rsidR="00147D34" w:rsidRPr="00765358" w:rsidRDefault="00147D34" w:rsidP="00147D34">
      <w:pPr>
        <w:pBdr>
          <w:bottom w:val="single" w:sz="4" w:space="1" w:color="auto"/>
        </w:pBd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表5.1 主要基本假設與參數設定</w:t>
      </w: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880"/>
        <w:gridCol w:w="6639"/>
      </w:tblGrid>
      <w:tr w:rsidR="00147D34" w:rsidRPr="00765358" w:rsidTr="00147D34">
        <w:trPr>
          <w:cantSplit/>
          <w:tblHeader/>
        </w:trPr>
        <w:tc>
          <w:tcPr>
            <w:tcW w:w="2880" w:type="dxa"/>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基本假設與參數設定</w:t>
            </w:r>
          </w:p>
        </w:tc>
        <w:tc>
          <w:tcPr>
            <w:tcW w:w="6639" w:type="dxa"/>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說          明</w:t>
            </w:r>
          </w:p>
        </w:tc>
      </w:tr>
      <w:tr w:rsidR="00147D34" w:rsidRPr="00765358" w:rsidTr="00147D34">
        <w:trPr>
          <w:cantSplit/>
        </w:trPr>
        <w:tc>
          <w:tcPr>
            <w:tcW w:w="2880" w:type="dxa"/>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基期</w:t>
            </w:r>
          </w:p>
        </w:tc>
        <w:tc>
          <w:tcPr>
            <w:tcW w:w="6639" w:type="dxa"/>
            <w:tcBorders>
              <w:bottom w:val="single" w:sz="4" w:space="0" w:color="auto"/>
            </w:tcBorders>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本財務計畫各項報酬率之評估以民國95年10月為基期。</w:t>
            </w:r>
          </w:p>
        </w:tc>
      </w:tr>
      <w:tr w:rsidR="00147D34" w:rsidRPr="00765358" w:rsidTr="00147D34">
        <w:trPr>
          <w:cantSplit/>
        </w:trPr>
        <w:tc>
          <w:tcPr>
            <w:tcW w:w="2880" w:type="dxa"/>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工程估價基準</w:t>
            </w:r>
          </w:p>
        </w:tc>
        <w:tc>
          <w:tcPr>
            <w:tcW w:w="6639" w:type="dxa"/>
            <w:tcBorders>
              <w:bottom w:val="single" w:sz="4" w:space="0" w:color="auto"/>
            </w:tcBorders>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本案工程估價基準為民國100年。</w:t>
            </w:r>
          </w:p>
        </w:tc>
      </w:tr>
      <w:tr w:rsidR="00147D34" w:rsidRPr="00765358" w:rsidTr="00147D34">
        <w:trPr>
          <w:cantSplit/>
        </w:trPr>
        <w:tc>
          <w:tcPr>
            <w:tcW w:w="2880" w:type="dxa"/>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評估年期</w:t>
            </w:r>
          </w:p>
        </w:tc>
        <w:tc>
          <w:tcPr>
            <w:tcW w:w="6639" w:type="dxa"/>
            <w:tcBorders>
              <w:bottom w:val="single" w:sz="4" w:space="0" w:color="auto"/>
            </w:tcBorders>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自簽約日民國95年10月</w:t>
            </w:r>
            <w:r w:rsidRPr="00765358">
              <w:rPr>
                <w:rStyle w:val="a6"/>
                <w:rFonts w:asciiTheme="majorEastAsia" w:eastAsiaTheme="majorEastAsia" w:hAnsiTheme="majorEastAsia" w:cs="Times New Roman"/>
                <w:b w:val="0"/>
              </w:rPr>
              <w:t>3</w:t>
            </w:r>
            <w:r w:rsidRPr="00765358">
              <w:rPr>
                <w:rStyle w:val="a6"/>
                <w:rFonts w:asciiTheme="majorEastAsia" w:eastAsiaTheme="majorEastAsia" w:hAnsiTheme="majorEastAsia" w:cs="Times New Roman" w:hint="eastAsia"/>
                <w:b w:val="0"/>
              </w:rPr>
              <w:t>日起算，合計為50年之特許期間。包含12個月規劃及籌備期，36個月之預估興建期；其中預估民國103年底取得使照，根據本案契約約定，應於大型室內體育館取得使照後三</w:t>
            </w:r>
            <w:proofErr w:type="gramStart"/>
            <w:r w:rsidRPr="00765358">
              <w:rPr>
                <w:rStyle w:val="a6"/>
                <w:rFonts w:asciiTheme="majorEastAsia" w:eastAsiaTheme="majorEastAsia" w:hAnsiTheme="majorEastAsia" w:cs="Times New Roman" w:hint="eastAsia"/>
                <w:b w:val="0"/>
              </w:rPr>
              <w:t>個</w:t>
            </w:r>
            <w:proofErr w:type="gramEnd"/>
            <w:r w:rsidRPr="00765358">
              <w:rPr>
                <w:rStyle w:val="a6"/>
                <w:rFonts w:asciiTheme="majorEastAsia" w:eastAsiaTheme="majorEastAsia" w:hAnsiTheme="majorEastAsia" w:cs="Times New Roman" w:hint="eastAsia"/>
                <w:b w:val="0"/>
              </w:rPr>
              <w:t>月內開始營運，因此民國104年4月起試營運半年，全案正式營運期假設為民國104年10月至民國145年</w:t>
            </w:r>
            <w:r w:rsidRPr="00765358">
              <w:rPr>
                <w:rStyle w:val="a6"/>
                <w:rFonts w:asciiTheme="majorEastAsia" w:eastAsiaTheme="majorEastAsia" w:hAnsiTheme="majorEastAsia" w:cs="Times New Roman"/>
                <w:b w:val="0"/>
              </w:rPr>
              <w:t>9</w:t>
            </w:r>
            <w:r w:rsidRPr="00765358">
              <w:rPr>
                <w:rStyle w:val="a6"/>
                <w:rFonts w:asciiTheme="majorEastAsia" w:eastAsiaTheme="majorEastAsia" w:hAnsiTheme="majorEastAsia" w:cs="Times New Roman" w:hint="eastAsia"/>
                <w:b w:val="0"/>
              </w:rPr>
              <w:t>月，共計41年之營運期。</w:t>
            </w:r>
          </w:p>
        </w:tc>
      </w:tr>
      <w:tr w:rsidR="00147D34" w:rsidRPr="00765358" w:rsidTr="00147D34">
        <w:trPr>
          <w:cantSplit/>
        </w:trPr>
        <w:tc>
          <w:tcPr>
            <w:tcW w:w="2880" w:type="dxa"/>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通貨膨脹率</w:t>
            </w:r>
          </w:p>
        </w:tc>
        <w:tc>
          <w:tcPr>
            <w:tcW w:w="6639" w:type="dxa"/>
            <w:tcBorders>
              <w:top w:val="single" w:sz="4" w:space="0" w:color="auto"/>
              <w:bottom w:val="single" w:sz="4" w:space="0" w:color="auto"/>
            </w:tcBorders>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根據本案「申請須知」之規定，通貨膨漲率以2.0%為基準。</w:t>
            </w:r>
          </w:p>
        </w:tc>
      </w:tr>
      <w:tr w:rsidR="00147D34" w:rsidRPr="00765358" w:rsidTr="00147D34">
        <w:trPr>
          <w:cantSplit/>
        </w:trPr>
        <w:tc>
          <w:tcPr>
            <w:tcW w:w="2880" w:type="dxa"/>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折現率</w:t>
            </w:r>
          </w:p>
        </w:tc>
        <w:tc>
          <w:tcPr>
            <w:tcW w:w="6639" w:type="dxa"/>
            <w:tcBorders>
              <w:top w:val="single" w:sz="4" w:space="0" w:color="auto"/>
            </w:tcBorders>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本案考量計畫資本結構、民間負債及股權資金成本，分別就計畫與民間投資觀點，以加權平均資金成本率</w:t>
            </w:r>
            <w:r w:rsidRPr="00765358">
              <w:rPr>
                <w:rStyle w:val="a6"/>
                <w:rFonts w:asciiTheme="majorEastAsia" w:eastAsiaTheme="majorEastAsia" w:hAnsiTheme="majorEastAsia" w:cs="Times New Roman"/>
                <w:b w:val="0"/>
              </w:rPr>
              <w:t>(WACC)</w:t>
            </w:r>
            <w:r w:rsidRPr="00765358">
              <w:rPr>
                <w:rStyle w:val="a6"/>
                <w:rFonts w:asciiTheme="majorEastAsia" w:eastAsiaTheme="majorEastAsia" w:hAnsiTheme="majorEastAsia" w:cs="Times New Roman" w:hint="eastAsia"/>
                <w:b w:val="0"/>
              </w:rPr>
              <w:t>計算方式訂定預估適當之折現率，其計算公式為：</w:t>
            </w:r>
          </w:p>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WACC=Wd*</w:t>
            </w:r>
            <w:proofErr w:type="spellStart"/>
            <w:r w:rsidRPr="00765358">
              <w:rPr>
                <w:rStyle w:val="a6"/>
                <w:rFonts w:asciiTheme="majorEastAsia" w:eastAsiaTheme="majorEastAsia" w:hAnsiTheme="majorEastAsia" w:cs="Times New Roman" w:hint="eastAsia"/>
                <w:b w:val="0"/>
              </w:rPr>
              <w:t>Kd</w:t>
            </w:r>
            <w:proofErr w:type="spellEnd"/>
            <w:r w:rsidRPr="00765358">
              <w:rPr>
                <w:rStyle w:val="a6"/>
                <w:rFonts w:asciiTheme="majorEastAsia" w:eastAsiaTheme="majorEastAsia" w:hAnsiTheme="majorEastAsia" w:cs="Times New Roman" w:hint="eastAsia"/>
                <w:b w:val="0"/>
              </w:rPr>
              <w:t>*(1-t)+</w:t>
            </w:r>
            <w:proofErr w:type="spellStart"/>
            <w:r w:rsidRPr="00765358">
              <w:rPr>
                <w:rStyle w:val="a6"/>
                <w:rFonts w:asciiTheme="majorEastAsia" w:eastAsiaTheme="majorEastAsia" w:hAnsiTheme="majorEastAsia" w:cs="Times New Roman" w:hint="eastAsia"/>
                <w:b w:val="0"/>
              </w:rPr>
              <w:t>Wc</w:t>
            </w:r>
            <w:proofErr w:type="spellEnd"/>
            <w:r w:rsidRPr="00765358">
              <w:rPr>
                <w:rStyle w:val="a6"/>
                <w:rFonts w:asciiTheme="majorEastAsia" w:eastAsiaTheme="majorEastAsia" w:hAnsiTheme="majorEastAsia" w:cs="Times New Roman" w:hint="eastAsia"/>
                <w:b w:val="0"/>
              </w:rPr>
              <w:t>*</w:t>
            </w:r>
            <w:proofErr w:type="spellStart"/>
            <w:r w:rsidRPr="00765358">
              <w:rPr>
                <w:rStyle w:val="a6"/>
                <w:rFonts w:asciiTheme="majorEastAsia" w:eastAsiaTheme="majorEastAsia" w:hAnsiTheme="majorEastAsia" w:cs="Times New Roman" w:hint="eastAsia"/>
                <w:b w:val="0"/>
              </w:rPr>
              <w:t>Kc</w:t>
            </w:r>
            <w:proofErr w:type="spellEnd"/>
            <w:r w:rsidRPr="00765358">
              <w:rPr>
                <w:rStyle w:val="a6"/>
                <w:rFonts w:asciiTheme="majorEastAsia" w:eastAsiaTheme="majorEastAsia" w:hAnsiTheme="majorEastAsia" w:cs="Times New Roman" w:hint="eastAsia"/>
                <w:b w:val="0"/>
              </w:rPr>
              <w:t xml:space="preserve">  其中</w:t>
            </w:r>
          </w:p>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WACC：加權平均資金成本率</w:t>
            </w:r>
          </w:p>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Wd：舉債部分權數，</w:t>
            </w:r>
            <w:proofErr w:type="spellStart"/>
            <w:r w:rsidRPr="00765358">
              <w:rPr>
                <w:rStyle w:val="a6"/>
                <w:rFonts w:asciiTheme="majorEastAsia" w:eastAsiaTheme="majorEastAsia" w:hAnsiTheme="majorEastAsia" w:cs="Times New Roman" w:hint="eastAsia"/>
                <w:b w:val="0"/>
              </w:rPr>
              <w:t>Kd</w:t>
            </w:r>
            <w:proofErr w:type="spellEnd"/>
            <w:r w:rsidRPr="00765358">
              <w:rPr>
                <w:rStyle w:val="a6"/>
                <w:rFonts w:asciiTheme="majorEastAsia" w:eastAsiaTheme="majorEastAsia" w:hAnsiTheme="majorEastAsia" w:cs="Times New Roman" w:hint="eastAsia"/>
                <w:b w:val="0"/>
              </w:rPr>
              <w:t>：平均借款利率</w:t>
            </w:r>
          </w:p>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t：所得稅率，</w:t>
            </w:r>
            <w:proofErr w:type="spellStart"/>
            <w:r w:rsidRPr="00765358">
              <w:rPr>
                <w:rStyle w:val="a6"/>
                <w:rFonts w:asciiTheme="majorEastAsia" w:eastAsiaTheme="majorEastAsia" w:hAnsiTheme="majorEastAsia" w:cs="Times New Roman" w:hint="eastAsia"/>
                <w:b w:val="0"/>
              </w:rPr>
              <w:t>Wc</w:t>
            </w:r>
            <w:proofErr w:type="spellEnd"/>
            <w:r w:rsidRPr="00765358">
              <w:rPr>
                <w:rStyle w:val="a6"/>
                <w:rFonts w:asciiTheme="majorEastAsia" w:eastAsiaTheme="majorEastAsia" w:hAnsiTheme="majorEastAsia" w:cs="Times New Roman" w:hint="eastAsia"/>
                <w:b w:val="0"/>
              </w:rPr>
              <w:t>：自有資金權數</w:t>
            </w:r>
          </w:p>
          <w:p w:rsidR="00147D34" w:rsidRPr="00765358" w:rsidRDefault="00147D34" w:rsidP="00147D34">
            <w:pPr>
              <w:rPr>
                <w:rStyle w:val="a6"/>
                <w:rFonts w:asciiTheme="majorEastAsia" w:eastAsiaTheme="majorEastAsia" w:hAnsiTheme="majorEastAsia" w:cs="Times New Roman"/>
                <w:b w:val="0"/>
              </w:rPr>
            </w:pPr>
            <w:proofErr w:type="spellStart"/>
            <w:r w:rsidRPr="00765358">
              <w:rPr>
                <w:rStyle w:val="a6"/>
                <w:rFonts w:asciiTheme="majorEastAsia" w:eastAsiaTheme="majorEastAsia" w:hAnsiTheme="majorEastAsia" w:cs="Times New Roman" w:hint="eastAsia"/>
                <w:b w:val="0"/>
              </w:rPr>
              <w:t>Kc</w:t>
            </w:r>
            <w:proofErr w:type="spellEnd"/>
            <w:r w:rsidRPr="00765358">
              <w:rPr>
                <w:rStyle w:val="a6"/>
                <w:rFonts w:asciiTheme="majorEastAsia" w:eastAsiaTheme="majorEastAsia" w:hAnsiTheme="majorEastAsia" w:cs="Times New Roman" w:hint="eastAsia"/>
                <w:b w:val="0"/>
              </w:rPr>
              <w:t>：股東權益報酬率</w:t>
            </w:r>
          </w:p>
        </w:tc>
      </w:tr>
      <w:tr w:rsidR="00147D34" w:rsidRPr="00765358" w:rsidTr="00147D34">
        <w:trPr>
          <w:cantSplit/>
        </w:trPr>
        <w:tc>
          <w:tcPr>
            <w:tcW w:w="2880" w:type="dxa"/>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股東預期報酬率</w:t>
            </w:r>
          </w:p>
        </w:tc>
        <w:tc>
          <w:tcPr>
            <w:tcW w:w="6639" w:type="dxa"/>
            <w:tcBorders>
              <w:top w:val="single" w:sz="4" w:space="0" w:color="auto"/>
            </w:tcBorders>
          </w:tcPr>
          <w:p w:rsidR="00147D34" w:rsidRPr="00765358" w:rsidRDefault="00147D34" w:rsidP="00147D34">
            <w:pPr>
              <w:rPr>
                <w:rStyle w:val="a6"/>
                <w:rFonts w:asciiTheme="majorEastAsia" w:eastAsiaTheme="majorEastAsia" w:hAnsiTheme="majorEastAsia" w:cs="Times New Roman"/>
                <w:b w:val="0"/>
              </w:rPr>
            </w:pPr>
            <w:r w:rsidRPr="00765358">
              <w:rPr>
                <w:rStyle w:val="a6"/>
                <w:rFonts w:asciiTheme="majorEastAsia" w:eastAsiaTheme="majorEastAsia" w:hAnsiTheme="majorEastAsia" w:cs="Times New Roman" w:hint="eastAsia"/>
                <w:b w:val="0"/>
              </w:rPr>
              <w:t>以8%估算。</w:t>
            </w:r>
          </w:p>
        </w:tc>
      </w:tr>
    </w:tbl>
    <w:p w:rsidR="00147D34" w:rsidRDefault="00147D34" w:rsidP="00147D34">
      <w:pPr>
        <w:pBdr>
          <w:bottom w:val="single" w:sz="4" w:space="1" w:color="auto"/>
        </w:pBdr>
        <w:rPr>
          <w:rStyle w:val="a6"/>
          <w:rFonts w:eastAsia="新細明體" w:hAnsi="新細明體" w:cs="Times New Roman"/>
          <w:b w:val="0"/>
        </w:rPr>
      </w:pPr>
    </w:p>
    <w:p w:rsidR="00B501AF" w:rsidRPr="00147D34" w:rsidRDefault="00B501AF" w:rsidP="00147D34">
      <w:pPr>
        <w:pBdr>
          <w:bottom w:val="single" w:sz="4" w:space="1" w:color="auto"/>
        </w:pBdr>
        <w:rPr>
          <w:rStyle w:val="a6"/>
          <w:rFonts w:eastAsia="新細明體" w:hAnsi="新細明體" w:cs="Times New Roman"/>
          <w:b w:val="0"/>
        </w:rPr>
      </w:pPr>
    </w:p>
    <w:sectPr w:rsidR="00B501AF" w:rsidRPr="00147D34" w:rsidSect="00B501AF">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E53" w:rsidRDefault="00223E53" w:rsidP="00223E53">
      <w:r>
        <w:separator/>
      </w:r>
    </w:p>
  </w:endnote>
  <w:endnote w:type="continuationSeparator" w:id="0">
    <w:p w:rsidR="00223E53" w:rsidRDefault="00223E53" w:rsidP="00223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B2" w:rsidRDefault="003C78B2">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B2" w:rsidRDefault="003C78B2">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B2" w:rsidRDefault="003C78B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E53" w:rsidRDefault="00223E53" w:rsidP="00223E53">
      <w:r>
        <w:separator/>
      </w:r>
    </w:p>
  </w:footnote>
  <w:footnote w:type="continuationSeparator" w:id="0">
    <w:p w:rsidR="00223E53" w:rsidRDefault="00223E53" w:rsidP="00223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B2" w:rsidRDefault="003C78B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1AF" w:rsidRPr="00B501AF" w:rsidRDefault="00B501AF" w:rsidP="00B501AF">
    <w:pPr>
      <w:pStyle w:val="a7"/>
      <w:pBdr>
        <w:bottom w:val="single" w:sz="6" w:space="0" w:color="auto"/>
      </w:pBdr>
      <w:rPr>
        <w:b/>
        <w:sz w:val="28"/>
        <w:szCs w:val="28"/>
      </w:rPr>
    </w:pPr>
    <w:r w:rsidRPr="00B501AF">
      <w:rPr>
        <w:rFonts w:hint="eastAsia"/>
        <w:b/>
        <w:sz w:val="28"/>
        <w:szCs w:val="28"/>
      </w:rPr>
      <w:t>Translation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B2" w:rsidRDefault="003C78B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87D80"/>
    <w:multiLevelType w:val="hybridMultilevel"/>
    <w:tmpl w:val="CCE86256"/>
    <w:lvl w:ilvl="0" w:tplc="E8D846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7477F68"/>
    <w:multiLevelType w:val="hybridMultilevel"/>
    <w:tmpl w:val="3356E79A"/>
    <w:lvl w:ilvl="0" w:tplc="A5B48CC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1051"/>
    <w:rsid w:val="000664CF"/>
    <w:rsid w:val="000D178E"/>
    <w:rsid w:val="00112A3A"/>
    <w:rsid w:val="00147D34"/>
    <w:rsid w:val="00174DFA"/>
    <w:rsid w:val="001758BC"/>
    <w:rsid w:val="001D552E"/>
    <w:rsid w:val="001F0C32"/>
    <w:rsid w:val="00223E53"/>
    <w:rsid w:val="0029286C"/>
    <w:rsid w:val="002B74F5"/>
    <w:rsid w:val="00303DFC"/>
    <w:rsid w:val="003C78B2"/>
    <w:rsid w:val="00436E31"/>
    <w:rsid w:val="00486BC5"/>
    <w:rsid w:val="00486EE7"/>
    <w:rsid w:val="004D2A90"/>
    <w:rsid w:val="00580DCB"/>
    <w:rsid w:val="005E0BE7"/>
    <w:rsid w:val="0070191D"/>
    <w:rsid w:val="00744763"/>
    <w:rsid w:val="00765358"/>
    <w:rsid w:val="007C2599"/>
    <w:rsid w:val="008067C5"/>
    <w:rsid w:val="00841051"/>
    <w:rsid w:val="00AC48ED"/>
    <w:rsid w:val="00B501AF"/>
    <w:rsid w:val="00BC1A6F"/>
    <w:rsid w:val="00C65781"/>
    <w:rsid w:val="00D44087"/>
    <w:rsid w:val="00DC101C"/>
    <w:rsid w:val="00DF0196"/>
    <w:rsid w:val="00E04560"/>
    <w:rsid w:val="00F145A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051"/>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841051"/>
    <w:pPr>
      <w:widowControl/>
      <w:spacing w:before="100" w:beforeAutospacing="1" w:after="100" w:afterAutospacing="1"/>
    </w:pPr>
    <w:rPr>
      <w:rFonts w:ascii="新細明體" w:eastAsia="新細明體" w:hAnsi="新細明體" w:cs="Times New Roman"/>
      <w:kern w:val="0"/>
      <w:szCs w:val="24"/>
    </w:rPr>
  </w:style>
  <w:style w:type="paragraph" w:styleId="a3">
    <w:name w:val="Balloon Text"/>
    <w:basedOn w:val="a"/>
    <w:link w:val="a4"/>
    <w:uiPriority w:val="99"/>
    <w:semiHidden/>
    <w:unhideWhenUsed/>
    <w:rsid w:val="00841051"/>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841051"/>
    <w:rPr>
      <w:rFonts w:asciiTheme="majorHAnsi" w:eastAsiaTheme="majorEastAsia" w:hAnsiTheme="majorHAnsi" w:cstheme="majorBidi"/>
      <w:sz w:val="18"/>
      <w:szCs w:val="18"/>
    </w:rPr>
  </w:style>
  <w:style w:type="character" w:styleId="a5">
    <w:name w:val="Placeholder Text"/>
    <w:basedOn w:val="a0"/>
    <w:uiPriority w:val="99"/>
    <w:semiHidden/>
    <w:rsid w:val="00841051"/>
    <w:rPr>
      <w:color w:val="808080"/>
    </w:rPr>
  </w:style>
  <w:style w:type="character" w:styleId="a6">
    <w:name w:val="Strong"/>
    <w:basedOn w:val="a0"/>
    <w:qFormat/>
    <w:rsid w:val="00841051"/>
    <w:rPr>
      <w:b/>
      <w:bCs/>
    </w:rPr>
  </w:style>
  <w:style w:type="paragraph" w:styleId="a7">
    <w:name w:val="header"/>
    <w:basedOn w:val="a"/>
    <w:link w:val="a8"/>
    <w:uiPriority w:val="99"/>
    <w:unhideWhenUsed/>
    <w:rsid w:val="00223E53"/>
    <w:pPr>
      <w:tabs>
        <w:tab w:val="center" w:pos="4153"/>
        <w:tab w:val="right" w:pos="8306"/>
      </w:tabs>
      <w:snapToGrid w:val="0"/>
    </w:pPr>
    <w:rPr>
      <w:sz w:val="20"/>
      <w:szCs w:val="20"/>
    </w:rPr>
  </w:style>
  <w:style w:type="character" w:customStyle="1" w:styleId="a8">
    <w:name w:val="頁首 字元"/>
    <w:basedOn w:val="a0"/>
    <w:link w:val="a7"/>
    <w:uiPriority w:val="99"/>
    <w:rsid w:val="00223E53"/>
    <w:rPr>
      <w:sz w:val="20"/>
      <w:szCs w:val="20"/>
    </w:rPr>
  </w:style>
  <w:style w:type="paragraph" w:styleId="a9">
    <w:name w:val="footer"/>
    <w:basedOn w:val="a"/>
    <w:link w:val="aa"/>
    <w:uiPriority w:val="99"/>
    <w:semiHidden/>
    <w:unhideWhenUsed/>
    <w:rsid w:val="00223E53"/>
    <w:pPr>
      <w:tabs>
        <w:tab w:val="center" w:pos="4153"/>
        <w:tab w:val="right" w:pos="8306"/>
      </w:tabs>
      <w:snapToGrid w:val="0"/>
    </w:pPr>
    <w:rPr>
      <w:sz w:val="20"/>
      <w:szCs w:val="20"/>
    </w:rPr>
  </w:style>
  <w:style w:type="character" w:customStyle="1" w:styleId="aa">
    <w:name w:val="頁尾 字元"/>
    <w:basedOn w:val="a0"/>
    <w:link w:val="a9"/>
    <w:uiPriority w:val="99"/>
    <w:semiHidden/>
    <w:rsid w:val="00223E53"/>
    <w:rPr>
      <w:sz w:val="20"/>
      <w:szCs w:val="20"/>
    </w:rPr>
  </w:style>
  <w:style w:type="paragraph" w:styleId="ab">
    <w:name w:val="List Paragraph"/>
    <w:basedOn w:val="a"/>
    <w:uiPriority w:val="34"/>
    <w:qFormat/>
    <w:rsid w:val="002B74F5"/>
    <w:pPr>
      <w:ind w:leftChars="200" w:left="480"/>
    </w:pPr>
  </w:style>
  <w:style w:type="paragraph" w:customStyle="1" w:styleId="ac">
    <w:name w:val="表內文左"/>
    <w:basedOn w:val="a"/>
    <w:rsid w:val="00147D34"/>
    <w:pPr>
      <w:adjustRightInd w:val="0"/>
      <w:snapToGrid w:val="0"/>
      <w:spacing w:before="15" w:after="15" w:line="240" w:lineRule="exact"/>
      <w:jc w:val="both"/>
      <w:textAlignment w:val="center"/>
    </w:pPr>
    <w:rPr>
      <w:rFonts w:ascii="Times New Roman" w:eastAsia="標楷體" w:hAnsi="Times New Roman" w:cs="Times New Roman"/>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FA578242E374FC8869D9DB34343FAAB"/>
        <w:category>
          <w:name w:val="一般"/>
          <w:gallery w:val="placeholder"/>
        </w:category>
        <w:types>
          <w:type w:val="bbPlcHdr"/>
        </w:types>
        <w:behaviors>
          <w:behavior w:val="content"/>
        </w:behaviors>
        <w:guid w:val="{59A3EAA7-0277-444E-847D-445309EB68BC}"/>
      </w:docPartPr>
      <w:docPartBody>
        <w:p w:rsidR="00DF7395" w:rsidRDefault="00404D00" w:rsidP="00404D00">
          <w:pPr>
            <w:pStyle w:val="BFA578242E374FC8869D9DB34343FAAB"/>
          </w:pPr>
          <w:r w:rsidRPr="003F32E3">
            <w:rPr>
              <w:rStyle w:val="a3"/>
              <w:rFonts w:hint="eastAsia"/>
            </w:rPr>
            <w:t>選擇一個項目。</w:t>
          </w:r>
        </w:p>
      </w:docPartBody>
    </w:docPart>
    <w:docPart>
      <w:docPartPr>
        <w:name w:val="1D875ED3CCF64D4DB9D5939F9CFEE352"/>
        <w:category>
          <w:name w:val="一般"/>
          <w:gallery w:val="placeholder"/>
        </w:category>
        <w:types>
          <w:type w:val="bbPlcHdr"/>
        </w:types>
        <w:behaviors>
          <w:behavior w:val="content"/>
        </w:behaviors>
        <w:guid w:val="{8A3457C4-6B04-42F4-9ADF-91405D67F67D}"/>
      </w:docPartPr>
      <w:docPartBody>
        <w:p w:rsidR="00EA0E5C" w:rsidRDefault="00DF7395" w:rsidP="00DF7395">
          <w:pPr>
            <w:pStyle w:val="1D875ED3CCF64D4DB9D5939F9CFEE352"/>
          </w:pPr>
          <w:r w:rsidRPr="003F32E3">
            <w:rPr>
              <w:rStyle w:val="a3"/>
              <w:rFonts w:hint="eastAsia"/>
            </w:rPr>
            <w:t>選擇一個項目。</w:t>
          </w:r>
        </w:p>
      </w:docPartBody>
    </w:docPart>
    <w:docPart>
      <w:docPartPr>
        <w:name w:val="FE74831ED88E4ADFAE78AACCB8B3E79B"/>
        <w:category>
          <w:name w:val="一般"/>
          <w:gallery w:val="placeholder"/>
        </w:category>
        <w:types>
          <w:type w:val="bbPlcHdr"/>
        </w:types>
        <w:behaviors>
          <w:behavior w:val="content"/>
        </w:behaviors>
        <w:guid w:val="{0A71F8C7-9C9A-40EC-929A-8B6F881572A3}"/>
      </w:docPartPr>
      <w:docPartBody>
        <w:p w:rsidR="00DF141B" w:rsidRDefault="005A2F0C" w:rsidP="005A2F0C">
          <w:pPr>
            <w:pStyle w:val="FE74831ED88E4ADFAE78AACCB8B3E79B"/>
          </w:pPr>
          <w:r w:rsidRPr="003F32E3">
            <w:rPr>
              <w:rStyle w:val="a3"/>
              <w:rFonts w:hint="eastAsia"/>
            </w:rPr>
            <w:t>選擇一個項目。</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4D00"/>
    <w:rsid w:val="002218FE"/>
    <w:rsid w:val="0034324E"/>
    <w:rsid w:val="00404D00"/>
    <w:rsid w:val="00454698"/>
    <w:rsid w:val="005A2F0C"/>
    <w:rsid w:val="00801D0A"/>
    <w:rsid w:val="00B50798"/>
    <w:rsid w:val="00CA0C37"/>
    <w:rsid w:val="00CB6E98"/>
    <w:rsid w:val="00DF141B"/>
    <w:rsid w:val="00DF7395"/>
    <w:rsid w:val="00EA0E5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395"/>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A2F0C"/>
    <w:rPr>
      <w:color w:val="808080"/>
    </w:rPr>
  </w:style>
  <w:style w:type="paragraph" w:customStyle="1" w:styleId="BFA578242E374FC8869D9DB34343FAAB">
    <w:name w:val="BFA578242E374FC8869D9DB34343FAAB"/>
    <w:rsid w:val="00404D00"/>
    <w:pPr>
      <w:widowControl w:val="0"/>
    </w:pPr>
  </w:style>
  <w:style w:type="paragraph" w:customStyle="1" w:styleId="1D875ED3CCF64D4DB9D5939F9CFEE352">
    <w:name w:val="1D875ED3CCF64D4DB9D5939F9CFEE352"/>
    <w:rsid w:val="00DF7395"/>
    <w:pPr>
      <w:widowControl w:val="0"/>
    </w:pPr>
  </w:style>
  <w:style w:type="paragraph" w:customStyle="1" w:styleId="FE74831ED88E4ADFAE78AACCB8B3E79B">
    <w:name w:val="FE74831ED88E4ADFAE78AACCB8B3E79B"/>
    <w:rsid w:val="005A2F0C"/>
    <w:pPr>
      <w:widowControl w:val="0"/>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114</Words>
  <Characters>655</Characters>
  <Application>Microsoft Office Word</Application>
  <DocSecurity>0</DocSecurity>
  <Lines>5</Lines>
  <Paragraphs>1</Paragraphs>
  <ScaleCrop>false</ScaleCrop>
  <Company/>
  <LinksUpToDate>false</LinksUpToDate>
  <CharactersWithSpaces>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meganko</cp:lastModifiedBy>
  <cp:revision>13</cp:revision>
  <dcterms:created xsi:type="dcterms:W3CDTF">2013-05-10T15:35:00Z</dcterms:created>
  <dcterms:modified xsi:type="dcterms:W3CDTF">2013-09-26T11:28:00Z</dcterms:modified>
</cp:coreProperties>
</file>